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E71" w:rsidRDefault="00D46E71" w:rsidP="00B426E4">
      <w:pPr>
        <w:spacing w:after="0"/>
        <w:jc w:val="center"/>
      </w:pPr>
    </w:p>
    <w:p w:rsidR="00D46E71" w:rsidRDefault="00D46E71" w:rsidP="00B426E4">
      <w:pPr>
        <w:spacing w:after="0"/>
        <w:jc w:val="center"/>
      </w:pPr>
    </w:p>
    <w:p w:rsidR="00D46E71" w:rsidRDefault="00D46E71" w:rsidP="00B426E4">
      <w:pPr>
        <w:spacing w:after="0"/>
        <w:jc w:val="center"/>
      </w:pPr>
    </w:p>
    <w:p w:rsidR="00D46E71" w:rsidRDefault="00D46E71" w:rsidP="00B426E4">
      <w:pPr>
        <w:spacing w:after="0"/>
        <w:jc w:val="center"/>
      </w:pPr>
    </w:p>
    <w:p w:rsidR="00D46E71" w:rsidRDefault="00D46E71" w:rsidP="00B426E4">
      <w:pPr>
        <w:spacing w:after="0"/>
        <w:jc w:val="center"/>
      </w:pPr>
    </w:p>
    <w:p w:rsidR="00D46E71" w:rsidRDefault="00D46E71" w:rsidP="00B426E4">
      <w:pPr>
        <w:spacing w:after="0"/>
        <w:jc w:val="center"/>
      </w:pPr>
    </w:p>
    <w:p w:rsidR="00D46E71" w:rsidRDefault="00D46E71" w:rsidP="00B426E4">
      <w:pPr>
        <w:spacing w:after="0"/>
        <w:jc w:val="center"/>
      </w:pPr>
    </w:p>
    <w:p w:rsidR="00B0127B" w:rsidRDefault="00D46E71" w:rsidP="00B426E4">
      <w:pPr>
        <w:spacing w:after="0"/>
        <w:jc w:val="center"/>
      </w:pPr>
      <w:r>
        <w:t>Negligent Errors</w:t>
      </w:r>
    </w:p>
    <w:p w:rsidR="00D46E71" w:rsidRDefault="00D46E71" w:rsidP="00B426E4">
      <w:pPr>
        <w:spacing w:after="0"/>
        <w:jc w:val="center"/>
      </w:pPr>
      <w:r>
        <w:t>Student’s Name</w:t>
      </w:r>
    </w:p>
    <w:p w:rsidR="00D46E71" w:rsidRDefault="00D46E71" w:rsidP="00B426E4">
      <w:pPr>
        <w:spacing w:after="0"/>
        <w:jc w:val="center"/>
      </w:pPr>
      <w:r>
        <w:t>Institution</w:t>
      </w:r>
    </w:p>
    <w:p w:rsidR="00D46E71" w:rsidRDefault="00D46E71" w:rsidP="00B426E4">
      <w:pPr>
        <w:spacing w:after="0"/>
        <w:jc w:val="center"/>
      </w:pPr>
      <w:r>
        <w:t>Date</w:t>
      </w:r>
    </w:p>
    <w:p w:rsidR="00D46E71" w:rsidRDefault="00D46E71" w:rsidP="00B426E4">
      <w:pPr>
        <w:spacing w:after="0"/>
      </w:pPr>
      <w:r>
        <w:br w:type="page"/>
      </w:r>
    </w:p>
    <w:p w:rsidR="00D46E71" w:rsidRDefault="00D46E71" w:rsidP="00B426E4">
      <w:pPr>
        <w:spacing w:after="0"/>
        <w:jc w:val="center"/>
      </w:pPr>
      <w:bookmarkStart w:id="0" w:name="_GoBack"/>
      <w:r>
        <w:lastRenderedPageBreak/>
        <w:t>Negligent Errors</w:t>
      </w:r>
    </w:p>
    <w:bookmarkEnd w:id="0"/>
    <w:p w:rsidR="008F3AF1" w:rsidRDefault="009D55EC" w:rsidP="00B426E4">
      <w:pPr>
        <w:pStyle w:val="NormalWeb"/>
        <w:spacing w:before="0" w:beforeAutospacing="0" w:after="0" w:afterAutospacing="0" w:line="480" w:lineRule="auto"/>
        <w:ind w:firstLine="720"/>
        <w:rPr>
          <w:color w:val="0E101A"/>
        </w:rPr>
      </w:pPr>
      <w:r>
        <w:rPr>
          <w:color w:val="0E101A"/>
        </w:rPr>
        <w:t>Chapter 11 of the textbook, “</w:t>
      </w:r>
      <w:r>
        <w:rPr>
          <w:rStyle w:val="Emphasis"/>
          <w:color w:val="0E101A"/>
        </w:rPr>
        <w:t>The Legal Aspects of Healthcare Administration</w:t>
      </w:r>
      <w:r>
        <w:rPr>
          <w:color w:val="0E101A"/>
        </w:rPr>
        <w:t xml:space="preserve">” by G.D </w:t>
      </w:r>
      <w:proofErr w:type="spellStart"/>
      <w:r>
        <w:rPr>
          <w:color w:val="0E101A"/>
        </w:rPr>
        <w:t>Pozgar</w:t>
      </w:r>
      <w:proofErr w:type="spellEnd"/>
      <w:r>
        <w:rPr>
          <w:color w:val="0E101A"/>
        </w:rPr>
        <w:t xml:space="preserve"> explicitly highlights the different legal risks nurses are vulnerable to when performing their responsibilities in a healthcare facility. Nurses are critical individuals in health facilities since they offer direct patient care. However, they are prone to various negligent acts. One common negligent error is incorrect medication (AL-ANI, 2020). This is the most common cause of medical negligence reported in many healthcare institutions where nurses dispense wrong drugs to a patient. It has potential legal and ethical implications. Foremost, the administration of wrong drugs may harm patients (</w:t>
      </w:r>
      <w:proofErr w:type="spellStart"/>
      <w:r>
        <w:rPr>
          <w:color w:val="0E101A"/>
        </w:rPr>
        <w:t>Topcu</w:t>
      </w:r>
      <w:proofErr w:type="spellEnd"/>
      <w:r>
        <w:rPr>
          <w:color w:val="0E101A"/>
        </w:rPr>
        <w:t xml:space="preserve"> et al., 2017). For instance, when a patient suffers from diabetes and becomes provided with medication for typhoid, their health is compromised. Also, the issuance of incorrect medication to the patient may result in eroded trust. When patients have known that they were administered incorrect medication, their trust regarding the healthcare facility becomes reduced. Thus they would seek other health centers for medication. </w:t>
      </w:r>
    </w:p>
    <w:p w:rsidR="009D55EC" w:rsidRDefault="009D55EC" w:rsidP="00B426E4">
      <w:pPr>
        <w:pStyle w:val="NormalWeb"/>
        <w:spacing w:before="0" w:beforeAutospacing="0" w:after="0" w:afterAutospacing="0" w:line="480" w:lineRule="auto"/>
        <w:ind w:firstLine="720"/>
        <w:rPr>
          <w:color w:val="0E101A"/>
        </w:rPr>
      </w:pPr>
      <w:r>
        <w:rPr>
          <w:color w:val="0E101A"/>
        </w:rPr>
        <w:t>Besides, patients can sue the nurses and the hospital for being issued with different medication than the prescribed one. It patients’ legal right to file for a lawsuit when they have evidence proving that they were provided the wrong dosage. Medical errors are becoming a surging problem in many healthcare facilities in the US. The parties that are responsible for incorrect medication include the hospital, doctor, and nurse. The hospital is held liable for the actions of its employees. Doctors should ensure that they make a proper diagnosis of a patient and prescribe the correct medication for their health problem. A nurse is the one who administered the drug to the patient thus he or she becomes liable for their actions.</w:t>
      </w:r>
    </w:p>
    <w:p w:rsidR="009D55EC" w:rsidRDefault="009D55EC" w:rsidP="00B426E4">
      <w:pPr>
        <w:pStyle w:val="NormalWeb"/>
        <w:spacing w:before="0" w:beforeAutospacing="0" w:after="0" w:afterAutospacing="0" w:line="480" w:lineRule="auto"/>
        <w:ind w:firstLine="720"/>
        <w:rPr>
          <w:color w:val="0E101A"/>
        </w:rPr>
      </w:pPr>
      <w:r>
        <w:rPr>
          <w:color w:val="0E101A"/>
        </w:rPr>
        <w:lastRenderedPageBreak/>
        <w:t>Incorrect medication is a medical error that taints the reputation of the health professionals and the hospital. The health professionals involved in the case include a nurse and a doctor. The quality of the interrelationships among the health professionals affected the organization's outcomes in different ways. One way was that the trust of patients regarding the medical services provided by the health organization was reduced. Also, the quality of care provided by the health organization was significantly tainted. When health professionals dispense wrong medication to patients, the quality of care offered by the hospital becomes mistrusted. The legal and ethical aspects of the case are numerous. They include harm to patients when provided with wrong dosages, eroded trust, and a potential lawsuit. The legal and ethical aspects of the case are related in that patients who have been provided with the wrong medication can consider suing the involved health professionals and the hospital for such a medical negligent act (</w:t>
      </w:r>
      <w:proofErr w:type="spellStart"/>
      <w:r>
        <w:rPr>
          <w:color w:val="0E101A"/>
        </w:rPr>
        <w:t>Ogston</w:t>
      </w:r>
      <w:proofErr w:type="spellEnd"/>
      <w:r>
        <w:rPr>
          <w:color w:val="0E101A"/>
        </w:rPr>
        <w:t>-Tuck, 2020).</w:t>
      </w:r>
    </w:p>
    <w:p w:rsidR="00D46E71" w:rsidRPr="008F3AF1" w:rsidRDefault="009D55EC" w:rsidP="00B426E4">
      <w:pPr>
        <w:pStyle w:val="NormalWeb"/>
        <w:spacing w:before="0" w:beforeAutospacing="0" w:after="0" w:afterAutospacing="0" w:line="480" w:lineRule="auto"/>
        <w:ind w:firstLine="720"/>
        <w:rPr>
          <w:color w:val="0E101A"/>
        </w:rPr>
      </w:pPr>
      <w:r>
        <w:rPr>
          <w:color w:val="0E101A"/>
        </w:rPr>
        <w:t>Every health organization is required to perform its responsibilities of issuing quality healthcare to patients. This is based on the legal and ethical standards of health. Some ethical standards include beneficence, non-maleficence, autonomy, and justice. Legal standards include administering caregiving according to guidelines of the law such as providing quality care (Rowthorn et al., 2019). Ignorance of these legal and ethical standards may immeasurably affect the accreditation or licensure of the healthcare organization. Firstly, when a health institution does not file for taxes it means it does meet specific requirements as outlined under the Patient Protection and Affordable Act. Hence it disqualifies a health organization from offering healthcare services to people. Secondly, a health organization that does embrace the consent of patients during the administration of care contravenes basic human rights. Before any medical care is provided to patients, it is crucial for their consent to be considered</w:t>
      </w:r>
    </w:p>
    <w:p w:rsidR="00D46E71" w:rsidRPr="005F6BD4" w:rsidRDefault="00D46E71" w:rsidP="00B426E4">
      <w:pPr>
        <w:spacing w:after="0"/>
        <w:ind w:firstLine="720"/>
        <w:jc w:val="center"/>
      </w:pPr>
      <w:r>
        <w:lastRenderedPageBreak/>
        <w:t>References</w:t>
      </w:r>
    </w:p>
    <w:p w:rsidR="00D46E71" w:rsidRPr="005F6BD4" w:rsidRDefault="00D46E71" w:rsidP="00B426E4">
      <w:pPr>
        <w:spacing w:after="0"/>
        <w:ind w:left="720" w:hanging="720"/>
        <w:rPr>
          <w:rFonts w:eastAsia="Times New Roman" w:cs="Times New Roman"/>
          <w:szCs w:val="24"/>
        </w:rPr>
      </w:pPr>
      <w:r w:rsidRPr="005F6BD4">
        <w:rPr>
          <w:rFonts w:eastAsia="Times New Roman" w:cs="Times New Roman"/>
          <w:szCs w:val="24"/>
        </w:rPr>
        <w:t xml:space="preserve">AL-ANI, O. A. S. (2020). Intravenous medication administration errors and this can endanger the lives of patients. </w:t>
      </w:r>
      <w:r w:rsidRPr="005F6BD4">
        <w:rPr>
          <w:rFonts w:eastAsia="Times New Roman" w:cs="Times New Roman"/>
          <w:i/>
          <w:iCs/>
          <w:szCs w:val="24"/>
        </w:rPr>
        <w:t xml:space="preserve">Asian J Pharm </w:t>
      </w:r>
      <w:proofErr w:type="spellStart"/>
      <w:r w:rsidRPr="005F6BD4">
        <w:rPr>
          <w:rFonts w:eastAsia="Times New Roman" w:cs="Times New Roman"/>
          <w:i/>
          <w:iCs/>
          <w:szCs w:val="24"/>
        </w:rPr>
        <w:t>Clin</w:t>
      </w:r>
      <w:proofErr w:type="spellEnd"/>
      <w:r w:rsidRPr="005F6BD4">
        <w:rPr>
          <w:rFonts w:eastAsia="Times New Roman" w:cs="Times New Roman"/>
          <w:i/>
          <w:iCs/>
          <w:szCs w:val="24"/>
        </w:rPr>
        <w:t xml:space="preserve"> Res</w:t>
      </w:r>
      <w:r w:rsidRPr="005F6BD4">
        <w:rPr>
          <w:rFonts w:eastAsia="Times New Roman" w:cs="Times New Roman"/>
          <w:szCs w:val="24"/>
        </w:rPr>
        <w:t xml:space="preserve">, </w:t>
      </w:r>
      <w:r w:rsidRPr="005F6BD4">
        <w:rPr>
          <w:rFonts w:eastAsia="Times New Roman" w:cs="Times New Roman"/>
          <w:i/>
          <w:iCs/>
          <w:szCs w:val="24"/>
        </w:rPr>
        <w:t>13</w:t>
      </w:r>
      <w:r w:rsidRPr="005F6BD4">
        <w:rPr>
          <w:rFonts w:eastAsia="Times New Roman" w:cs="Times New Roman"/>
          <w:szCs w:val="24"/>
        </w:rPr>
        <w:t>(7), 169-173.</w:t>
      </w:r>
    </w:p>
    <w:p w:rsidR="00D46E71" w:rsidRDefault="00D46E71" w:rsidP="00B426E4">
      <w:pPr>
        <w:spacing w:after="0"/>
        <w:ind w:left="720" w:hanging="720"/>
        <w:rPr>
          <w:rFonts w:eastAsia="Times New Roman" w:cs="Times New Roman"/>
          <w:szCs w:val="24"/>
        </w:rPr>
      </w:pPr>
      <w:proofErr w:type="spellStart"/>
      <w:r w:rsidRPr="005F6BD4">
        <w:rPr>
          <w:rFonts w:eastAsia="Times New Roman" w:cs="Times New Roman"/>
          <w:szCs w:val="24"/>
        </w:rPr>
        <w:t>Ogston</w:t>
      </w:r>
      <w:proofErr w:type="spellEnd"/>
      <w:r w:rsidRPr="005F6BD4">
        <w:rPr>
          <w:rFonts w:eastAsia="Times New Roman" w:cs="Times New Roman"/>
          <w:szCs w:val="24"/>
        </w:rPr>
        <w:t xml:space="preserve">-Tuck, S. (2020). Legal and Ethical Issues Associated with Medication. In </w:t>
      </w:r>
      <w:r w:rsidRPr="005F6BD4">
        <w:rPr>
          <w:rFonts w:eastAsia="Times New Roman" w:cs="Times New Roman"/>
          <w:i/>
          <w:iCs/>
          <w:szCs w:val="24"/>
        </w:rPr>
        <w:t>Understanding Pharmacology in Nursing Practice</w:t>
      </w:r>
      <w:r w:rsidRPr="005F6BD4">
        <w:rPr>
          <w:rFonts w:eastAsia="Times New Roman" w:cs="Times New Roman"/>
          <w:szCs w:val="24"/>
        </w:rPr>
        <w:t xml:space="preserve"> (pp. 3-24). Springer, Cham.</w:t>
      </w:r>
    </w:p>
    <w:p w:rsidR="00D46E71" w:rsidRPr="005F6BD4" w:rsidRDefault="00D46E71" w:rsidP="00B426E4">
      <w:pPr>
        <w:spacing w:after="0"/>
        <w:ind w:left="720" w:hanging="720"/>
        <w:rPr>
          <w:rFonts w:eastAsia="Times New Roman" w:cs="Times New Roman"/>
          <w:szCs w:val="24"/>
        </w:rPr>
      </w:pPr>
      <w:r w:rsidRPr="005F6BD4">
        <w:rPr>
          <w:rFonts w:eastAsia="Times New Roman" w:cs="Times New Roman"/>
          <w:szCs w:val="24"/>
        </w:rPr>
        <w:t xml:space="preserve">Rowthorn, V., </w:t>
      </w:r>
      <w:proofErr w:type="spellStart"/>
      <w:r w:rsidRPr="005F6BD4">
        <w:rPr>
          <w:rFonts w:eastAsia="Times New Roman" w:cs="Times New Roman"/>
          <w:szCs w:val="24"/>
        </w:rPr>
        <w:t>Loh</w:t>
      </w:r>
      <w:proofErr w:type="spellEnd"/>
      <w:r w:rsidRPr="005F6BD4">
        <w:rPr>
          <w:rFonts w:eastAsia="Times New Roman" w:cs="Times New Roman"/>
          <w:szCs w:val="24"/>
        </w:rPr>
        <w:t xml:space="preserve">, L., Evert, J., Chung, E., &amp; </w:t>
      </w:r>
      <w:proofErr w:type="spellStart"/>
      <w:r w:rsidRPr="005F6BD4">
        <w:rPr>
          <w:rFonts w:eastAsia="Times New Roman" w:cs="Times New Roman"/>
          <w:szCs w:val="24"/>
        </w:rPr>
        <w:t>Lasker</w:t>
      </w:r>
      <w:proofErr w:type="spellEnd"/>
      <w:r w:rsidRPr="005F6BD4">
        <w:rPr>
          <w:rFonts w:eastAsia="Times New Roman" w:cs="Times New Roman"/>
          <w:szCs w:val="24"/>
        </w:rPr>
        <w:t xml:space="preserve">, J. (2019). Not above the law: a legal and ethical analysis of short-term experiences in global health. </w:t>
      </w:r>
      <w:r w:rsidRPr="005F6BD4">
        <w:rPr>
          <w:rFonts w:eastAsia="Times New Roman" w:cs="Times New Roman"/>
          <w:i/>
          <w:iCs/>
          <w:szCs w:val="24"/>
        </w:rPr>
        <w:t>Annals of global health</w:t>
      </w:r>
      <w:r w:rsidRPr="005F6BD4">
        <w:rPr>
          <w:rFonts w:eastAsia="Times New Roman" w:cs="Times New Roman"/>
          <w:szCs w:val="24"/>
        </w:rPr>
        <w:t xml:space="preserve">, </w:t>
      </w:r>
      <w:r w:rsidRPr="005F6BD4">
        <w:rPr>
          <w:rFonts w:eastAsia="Times New Roman" w:cs="Times New Roman"/>
          <w:i/>
          <w:iCs/>
          <w:szCs w:val="24"/>
        </w:rPr>
        <w:t>85</w:t>
      </w:r>
      <w:r w:rsidRPr="005F6BD4">
        <w:rPr>
          <w:rFonts w:eastAsia="Times New Roman" w:cs="Times New Roman"/>
          <w:szCs w:val="24"/>
        </w:rPr>
        <w:t>(1).</w:t>
      </w:r>
    </w:p>
    <w:p w:rsidR="00D46E71" w:rsidRPr="005F6BD4" w:rsidRDefault="00D46E71" w:rsidP="00B426E4">
      <w:pPr>
        <w:spacing w:after="0"/>
        <w:ind w:left="720" w:hanging="720"/>
        <w:rPr>
          <w:rFonts w:eastAsia="Times New Roman" w:cs="Times New Roman"/>
          <w:szCs w:val="24"/>
        </w:rPr>
      </w:pPr>
      <w:proofErr w:type="spellStart"/>
      <w:r w:rsidRPr="005F6BD4">
        <w:rPr>
          <w:rFonts w:eastAsia="Times New Roman" w:cs="Times New Roman"/>
          <w:szCs w:val="24"/>
        </w:rPr>
        <w:t>Topcu</w:t>
      </w:r>
      <w:proofErr w:type="spellEnd"/>
      <w:r w:rsidRPr="005F6BD4">
        <w:rPr>
          <w:rFonts w:eastAsia="Times New Roman" w:cs="Times New Roman"/>
          <w:szCs w:val="24"/>
        </w:rPr>
        <w:t xml:space="preserve">, I., </w:t>
      </w:r>
      <w:proofErr w:type="spellStart"/>
      <w:r w:rsidRPr="005F6BD4">
        <w:rPr>
          <w:rFonts w:eastAsia="Times New Roman" w:cs="Times New Roman"/>
          <w:szCs w:val="24"/>
        </w:rPr>
        <w:t>Türkmen</w:t>
      </w:r>
      <w:proofErr w:type="spellEnd"/>
      <w:r w:rsidRPr="005F6BD4">
        <w:rPr>
          <w:rFonts w:eastAsia="Times New Roman" w:cs="Times New Roman"/>
          <w:szCs w:val="24"/>
        </w:rPr>
        <w:t xml:space="preserve">, A. S., </w:t>
      </w:r>
      <w:proofErr w:type="spellStart"/>
      <w:r w:rsidRPr="005F6BD4">
        <w:rPr>
          <w:rFonts w:eastAsia="Times New Roman" w:cs="Times New Roman"/>
          <w:szCs w:val="24"/>
        </w:rPr>
        <w:t>Sahiner</w:t>
      </w:r>
      <w:proofErr w:type="spellEnd"/>
      <w:r w:rsidRPr="005F6BD4">
        <w:rPr>
          <w:rFonts w:eastAsia="Times New Roman" w:cs="Times New Roman"/>
          <w:szCs w:val="24"/>
        </w:rPr>
        <w:t xml:space="preserve">, N. C., </w:t>
      </w:r>
      <w:proofErr w:type="spellStart"/>
      <w:r w:rsidRPr="005F6BD4">
        <w:rPr>
          <w:rFonts w:eastAsia="Times New Roman" w:cs="Times New Roman"/>
          <w:szCs w:val="24"/>
        </w:rPr>
        <w:t>Savaser</w:t>
      </w:r>
      <w:proofErr w:type="spellEnd"/>
      <w:r w:rsidRPr="005F6BD4">
        <w:rPr>
          <w:rFonts w:eastAsia="Times New Roman" w:cs="Times New Roman"/>
          <w:szCs w:val="24"/>
        </w:rPr>
        <w:t xml:space="preserve">, S., &amp; Sen, H. (2017). Physicians’ and nurses’ medical errors associated with communication failures. </w:t>
      </w:r>
      <w:r w:rsidRPr="005F6BD4">
        <w:rPr>
          <w:rFonts w:eastAsia="Times New Roman" w:cs="Times New Roman"/>
          <w:i/>
          <w:iCs/>
          <w:szCs w:val="24"/>
        </w:rPr>
        <w:t xml:space="preserve">J Pak Med </w:t>
      </w:r>
      <w:proofErr w:type="spellStart"/>
      <w:r w:rsidRPr="005F6BD4">
        <w:rPr>
          <w:rFonts w:eastAsia="Times New Roman" w:cs="Times New Roman"/>
          <w:i/>
          <w:iCs/>
          <w:szCs w:val="24"/>
        </w:rPr>
        <w:t>Assoc</w:t>
      </w:r>
      <w:proofErr w:type="spellEnd"/>
      <w:r w:rsidRPr="005F6BD4">
        <w:rPr>
          <w:rFonts w:eastAsia="Times New Roman" w:cs="Times New Roman"/>
          <w:szCs w:val="24"/>
        </w:rPr>
        <w:t xml:space="preserve">, </w:t>
      </w:r>
      <w:r w:rsidRPr="005F6BD4">
        <w:rPr>
          <w:rFonts w:eastAsia="Times New Roman" w:cs="Times New Roman"/>
          <w:i/>
          <w:iCs/>
          <w:szCs w:val="24"/>
        </w:rPr>
        <w:t>67</w:t>
      </w:r>
      <w:r w:rsidRPr="005F6BD4">
        <w:rPr>
          <w:rFonts w:eastAsia="Times New Roman" w:cs="Times New Roman"/>
          <w:szCs w:val="24"/>
        </w:rPr>
        <w:t>(4), 600-604.</w:t>
      </w:r>
    </w:p>
    <w:p w:rsidR="00D46E71" w:rsidRDefault="00D46E71" w:rsidP="00B426E4">
      <w:pPr>
        <w:spacing w:after="0"/>
        <w:ind w:firstLine="720"/>
        <w:jc w:val="center"/>
      </w:pPr>
    </w:p>
    <w:p w:rsidR="00D46E71" w:rsidRDefault="00D46E71" w:rsidP="00B426E4">
      <w:pPr>
        <w:spacing w:after="0"/>
        <w:ind w:firstLine="720"/>
      </w:pPr>
    </w:p>
    <w:p w:rsidR="00D46E71" w:rsidRDefault="00D46E71" w:rsidP="00B426E4">
      <w:pPr>
        <w:spacing w:after="0"/>
        <w:jc w:val="center"/>
      </w:pPr>
    </w:p>
    <w:p w:rsidR="00D46E71" w:rsidRPr="00D46E71" w:rsidRDefault="00D46E71" w:rsidP="00B426E4">
      <w:pPr>
        <w:spacing w:after="0"/>
        <w:jc w:val="center"/>
      </w:pPr>
    </w:p>
    <w:sectPr w:rsidR="00D46E71" w:rsidRPr="00D46E71" w:rsidSect="00D46E7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818" w:rsidRDefault="00011818" w:rsidP="00D46E71">
      <w:pPr>
        <w:spacing w:after="0" w:line="240" w:lineRule="auto"/>
      </w:pPr>
      <w:r>
        <w:separator/>
      </w:r>
    </w:p>
  </w:endnote>
  <w:endnote w:type="continuationSeparator" w:id="0">
    <w:p w:rsidR="00011818" w:rsidRDefault="00011818" w:rsidP="00D4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818" w:rsidRDefault="00011818" w:rsidP="00D46E71">
      <w:pPr>
        <w:spacing w:after="0" w:line="240" w:lineRule="auto"/>
      </w:pPr>
      <w:r>
        <w:separator/>
      </w:r>
    </w:p>
  </w:footnote>
  <w:footnote w:type="continuationSeparator" w:id="0">
    <w:p w:rsidR="00011818" w:rsidRDefault="00011818" w:rsidP="00D46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0025551"/>
      <w:docPartObj>
        <w:docPartGallery w:val="Page Numbers (Top of Page)"/>
        <w:docPartUnique/>
      </w:docPartObj>
    </w:sdtPr>
    <w:sdtEndPr>
      <w:rPr>
        <w:noProof/>
      </w:rPr>
    </w:sdtEndPr>
    <w:sdtContent>
      <w:p w:rsidR="00D46E71" w:rsidRDefault="00D46E71">
        <w:pPr>
          <w:pStyle w:val="Header"/>
          <w:jc w:val="right"/>
        </w:pPr>
        <w:r>
          <w:t>NEGLIGENT ERRORS</w:t>
        </w:r>
        <w:r>
          <w:tab/>
        </w:r>
        <w:r>
          <w:tab/>
        </w:r>
        <w:r>
          <w:fldChar w:fldCharType="begin"/>
        </w:r>
        <w:r>
          <w:instrText xml:space="preserve"> PAGE   \* MERGEFORMAT </w:instrText>
        </w:r>
        <w:r>
          <w:fldChar w:fldCharType="separate"/>
        </w:r>
        <w:r w:rsidR="00B426E4">
          <w:rPr>
            <w:noProof/>
          </w:rPr>
          <w:t>4</w:t>
        </w:r>
        <w:r>
          <w:rPr>
            <w:noProof/>
          </w:rPr>
          <w:fldChar w:fldCharType="end"/>
        </w:r>
      </w:p>
    </w:sdtContent>
  </w:sdt>
  <w:p w:rsidR="00D46E71" w:rsidRDefault="00D46E7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E71" w:rsidRDefault="00D46E71">
    <w:pPr>
      <w:pStyle w:val="Header"/>
    </w:pPr>
    <w:r>
      <w:t>Running Head: NEGLIGENT ERRORS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6C7"/>
    <w:rsid w:val="00000A29"/>
    <w:rsid w:val="00011818"/>
    <w:rsid w:val="00020BEE"/>
    <w:rsid w:val="000220BA"/>
    <w:rsid w:val="00031E0F"/>
    <w:rsid w:val="000411C7"/>
    <w:rsid w:val="00044FB5"/>
    <w:rsid w:val="00053C1C"/>
    <w:rsid w:val="00055827"/>
    <w:rsid w:val="00074A21"/>
    <w:rsid w:val="000847D4"/>
    <w:rsid w:val="000953DF"/>
    <w:rsid w:val="000A652E"/>
    <w:rsid w:val="000A6B22"/>
    <w:rsid w:val="000D1577"/>
    <w:rsid w:val="000D2BA0"/>
    <w:rsid w:val="000D4398"/>
    <w:rsid w:val="000D6B7D"/>
    <w:rsid w:val="000F6058"/>
    <w:rsid w:val="000F69E9"/>
    <w:rsid w:val="00110BDC"/>
    <w:rsid w:val="001160D4"/>
    <w:rsid w:val="00116F21"/>
    <w:rsid w:val="001334C3"/>
    <w:rsid w:val="00142434"/>
    <w:rsid w:val="001518DD"/>
    <w:rsid w:val="0015463A"/>
    <w:rsid w:val="00164901"/>
    <w:rsid w:val="001767F4"/>
    <w:rsid w:val="00181DAC"/>
    <w:rsid w:val="00185F47"/>
    <w:rsid w:val="00193C35"/>
    <w:rsid w:val="00196918"/>
    <w:rsid w:val="001B1EAB"/>
    <w:rsid w:val="001C1F8B"/>
    <w:rsid w:val="001E0267"/>
    <w:rsid w:val="001E3E96"/>
    <w:rsid w:val="002019E5"/>
    <w:rsid w:val="0022001D"/>
    <w:rsid w:val="002209A8"/>
    <w:rsid w:val="00225D01"/>
    <w:rsid w:val="00226F79"/>
    <w:rsid w:val="002335E1"/>
    <w:rsid w:val="00241D21"/>
    <w:rsid w:val="0024704A"/>
    <w:rsid w:val="0025211E"/>
    <w:rsid w:val="002568D7"/>
    <w:rsid w:val="00272437"/>
    <w:rsid w:val="0029061C"/>
    <w:rsid w:val="00294667"/>
    <w:rsid w:val="00296E91"/>
    <w:rsid w:val="002A32D2"/>
    <w:rsid w:val="002A3AA6"/>
    <w:rsid w:val="002B5E50"/>
    <w:rsid w:val="002C09D2"/>
    <w:rsid w:val="002C37FA"/>
    <w:rsid w:val="002C4A43"/>
    <w:rsid w:val="002D22B2"/>
    <w:rsid w:val="002D38A9"/>
    <w:rsid w:val="002E5B97"/>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C4412"/>
    <w:rsid w:val="003E01D4"/>
    <w:rsid w:val="003F5365"/>
    <w:rsid w:val="003F6287"/>
    <w:rsid w:val="003F739F"/>
    <w:rsid w:val="00400297"/>
    <w:rsid w:val="00404D9F"/>
    <w:rsid w:val="00404FB4"/>
    <w:rsid w:val="004103B9"/>
    <w:rsid w:val="004132D4"/>
    <w:rsid w:val="0041504E"/>
    <w:rsid w:val="004271B1"/>
    <w:rsid w:val="00431207"/>
    <w:rsid w:val="00437C5B"/>
    <w:rsid w:val="0044015C"/>
    <w:rsid w:val="00460D09"/>
    <w:rsid w:val="00464915"/>
    <w:rsid w:val="00466056"/>
    <w:rsid w:val="004726E0"/>
    <w:rsid w:val="00475E00"/>
    <w:rsid w:val="00477425"/>
    <w:rsid w:val="00490CE9"/>
    <w:rsid w:val="004966AC"/>
    <w:rsid w:val="00497C80"/>
    <w:rsid w:val="004A4DFA"/>
    <w:rsid w:val="004B36F7"/>
    <w:rsid w:val="004C14CC"/>
    <w:rsid w:val="004C1AED"/>
    <w:rsid w:val="004C68FE"/>
    <w:rsid w:val="004D11DB"/>
    <w:rsid w:val="004D351D"/>
    <w:rsid w:val="004D6B40"/>
    <w:rsid w:val="004D6C17"/>
    <w:rsid w:val="004F456E"/>
    <w:rsid w:val="004F77B4"/>
    <w:rsid w:val="004F7993"/>
    <w:rsid w:val="00501D82"/>
    <w:rsid w:val="0051053B"/>
    <w:rsid w:val="00515EFB"/>
    <w:rsid w:val="0052106F"/>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305B0"/>
    <w:rsid w:val="0063293D"/>
    <w:rsid w:val="00633D7D"/>
    <w:rsid w:val="00637283"/>
    <w:rsid w:val="0064231E"/>
    <w:rsid w:val="00647E75"/>
    <w:rsid w:val="00651841"/>
    <w:rsid w:val="0065435B"/>
    <w:rsid w:val="00655366"/>
    <w:rsid w:val="0067062A"/>
    <w:rsid w:val="00670B2C"/>
    <w:rsid w:val="00691AA6"/>
    <w:rsid w:val="00693437"/>
    <w:rsid w:val="0069493A"/>
    <w:rsid w:val="006B2A05"/>
    <w:rsid w:val="006C3AB1"/>
    <w:rsid w:val="006C3B2C"/>
    <w:rsid w:val="006D0379"/>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263F"/>
    <w:rsid w:val="007542B9"/>
    <w:rsid w:val="00755C63"/>
    <w:rsid w:val="007575CB"/>
    <w:rsid w:val="00767508"/>
    <w:rsid w:val="007678E6"/>
    <w:rsid w:val="007769F6"/>
    <w:rsid w:val="00785B8D"/>
    <w:rsid w:val="00785F7C"/>
    <w:rsid w:val="0079019B"/>
    <w:rsid w:val="007930A0"/>
    <w:rsid w:val="007C34D3"/>
    <w:rsid w:val="007C43FC"/>
    <w:rsid w:val="007C5BE3"/>
    <w:rsid w:val="007D338C"/>
    <w:rsid w:val="007E2109"/>
    <w:rsid w:val="007F51B1"/>
    <w:rsid w:val="008133A8"/>
    <w:rsid w:val="00817E3F"/>
    <w:rsid w:val="008218EC"/>
    <w:rsid w:val="00821BAE"/>
    <w:rsid w:val="00821C78"/>
    <w:rsid w:val="00822D9D"/>
    <w:rsid w:val="00836953"/>
    <w:rsid w:val="00847FF1"/>
    <w:rsid w:val="00850C76"/>
    <w:rsid w:val="008512F2"/>
    <w:rsid w:val="00862C17"/>
    <w:rsid w:val="00864B11"/>
    <w:rsid w:val="00871E6C"/>
    <w:rsid w:val="008722ED"/>
    <w:rsid w:val="00873627"/>
    <w:rsid w:val="00883823"/>
    <w:rsid w:val="00887B79"/>
    <w:rsid w:val="00887F13"/>
    <w:rsid w:val="00896D43"/>
    <w:rsid w:val="008979F4"/>
    <w:rsid w:val="008A0815"/>
    <w:rsid w:val="008B0FE3"/>
    <w:rsid w:val="008C37ED"/>
    <w:rsid w:val="008D6B36"/>
    <w:rsid w:val="008E260D"/>
    <w:rsid w:val="008E426A"/>
    <w:rsid w:val="008E580F"/>
    <w:rsid w:val="008E5D30"/>
    <w:rsid w:val="008E77D4"/>
    <w:rsid w:val="008F3AF1"/>
    <w:rsid w:val="0090497A"/>
    <w:rsid w:val="00912648"/>
    <w:rsid w:val="00916812"/>
    <w:rsid w:val="00917F80"/>
    <w:rsid w:val="009430BB"/>
    <w:rsid w:val="009447B4"/>
    <w:rsid w:val="009452B5"/>
    <w:rsid w:val="00945B3E"/>
    <w:rsid w:val="00945C0E"/>
    <w:rsid w:val="00962CD7"/>
    <w:rsid w:val="00966A7D"/>
    <w:rsid w:val="00970D1D"/>
    <w:rsid w:val="00987AF2"/>
    <w:rsid w:val="0099485F"/>
    <w:rsid w:val="009A1BC2"/>
    <w:rsid w:val="009A313A"/>
    <w:rsid w:val="009B0550"/>
    <w:rsid w:val="009C02B9"/>
    <w:rsid w:val="009C0545"/>
    <w:rsid w:val="009C164C"/>
    <w:rsid w:val="009C1AA9"/>
    <w:rsid w:val="009C29B2"/>
    <w:rsid w:val="009C767E"/>
    <w:rsid w:val="009D3EC6"/>
    <w:rsid w:val="009D55EC"/>
    <w:rsid w:val="009D7AC9"/>
    <w:rsid w:val="009E51DA"/>
    <w:rsid w:val="009F02BF"/>
    <w:rsid w:val="009F1A8B"/>
    <w:rsid w:val="00A10417"/>
    <w:rsid w:val="00A10676"/>
    <w:rsid w:val="00A209DE"/>
    <w:rsid w:val="00A329B4"/>
    <w:rsid w:val="00A33606"/>
    <w:rsid w:val="00A42FD0"/>
    <w:rsid w:val="00A43C3D"/>
    <w:rsid w:val="00A6104C"/>
    <w:rsid w:val="00A80134"/>
    <w:rsid w:val="00A82855"/>
    <w:rsid w:val="00A874FE"/>
    <w:rsid w:val="00AA20D7"/>
    <w:rsid w:val="00AA7C43"/>
    <w:rsid w:val="00AC02B1"/>
    <w:rsid w:val="00AC1DED"/>
    <w:rsid w:val="00AC2271"/>
    <w:rsid w:val="00AC7386"/>
    <w:rsid w:val="00AD22F8"/>
    <w:rsid w:val="00AE5120"/>
    <w:rsid w:val="00AF151A"/>
    <w:rsid w:val="00AF31EA"/>
    <w:rsid w:val="00AF3648"/>
    <w:rsid w:val="00AF5008"/>
    <w:rsid w:val="00AF6578"/>
    <w:rsid w:val="00B0127B"/>
    <w:rsid w:val="00B03CFF"/>
    <w:rsid w:val="00B07A5A"/>
    <w:rsid w:val="00B16A2C"/>
    <w:rsid w:val="00B17A5C"/>
    <w:rsid w:val="00B2071E"/>
    <w:rsid w:val="00B270FF"/>
    <w:rsid w:val="00B2738A"/>
    <w:rsid w:val="00B33274"/>
    <w:rsid w:val="00B36E52"/>
    <w:rsid w:val="00B426E4"/>
    <w:rsid w:val="00B46478"/>
    <w:rsid w:val="00B465B3"/>
    <w:rsid w:val="00B47EEF"/>
    <w:rsid w:val="00B75321"/>
    <w:rsid w:val="00B77FD8"/>
    <w:rsid w:val="00B821E9"/>
    <w:rsid w:val="00B84272"/>
    <w:rsid w:val="00B85D50"/>
    <w:rsid w:val="00B91225"/>
    <w:rsid w:val="00B91266"/>
    <w:rsid w:val="00BC0B91"/>
    <w:rsid w:val="00BC1A19"/>
    <w:rsid w:val="00BD055E"/>
    <w:rsid w:val="00BE24BF"/>
    <w:rsid w:val="00BE3705"/>
    <w:rsid w:val="00BE6BE2"/>
    <w:rsid w:val="00BF2AF7"/>
    <w:rsid w:val="00BF6DA9"/>
    <w:rsid w:val="00C170AE"/>
    <w:rsid w:val="00C502A7"/>
    <w:rsid w:val="00C52EFC"/>
    <w:rsid w:val="00C563E2"/>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D125B"/>
    <w:rsid w:val="00CD3031"/>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46E71"/>
    <w:rsid w:val="00D5665F"/>
    <w:rsid w:val="00D67FB0"/>
    <w:rsid w:val="00D7029A"/>
    <w:rsid w:val="00D706DE"/>
    <w:rsid w:val="00D74B32"/>
    <w:rsid w:val="00D8198F"/>
    <w:rsid w:val="00D82117"/>
    <w:rsid w:val="00D849C2"/>
    <w:rsid w:val="00DA1724"/>
    <w:rsid w:val="00DA6162"/>
    <w:rsid w:val="00DB040E"/>
    <w:rsid w:val="00DB4E1B"/>
    <w:rsid w:val="00DB63E6"/>
    <w:rsid w:val="00DC141F"/>
    <w:rsid w:val="00DD26FE"/>
    <w:rsid w:val="00DD6996"/>
    <w:rsid w:val="00DF05DC"/>
    <w:rsid w:val="00E02F43"/>
    <w:rsid w:val="00E04B3F"/>
    <w:rsid w:val="00E1151D"/>
    <w:rsid w:val="00E25252"/>
    <w:rsid w:val="00E32439"/>
    <w:rsid w:val="00E54F1A"/>
    <w:rsid w:val="00E60ACA"/>
    <w:rsid w:val="00E67863"/>
    <w:rsid w:val="00E722CD"/>
    <w:rsid w:val="00E743D0"/>
    <w:rsid w:val="00E75457"/>
    <w:rsid w:val="00EA0925"/>
    <w:rsid w:val="00EA1FA7"/>
    <w:rsid w:val="00EA63AD"/>
    <w:rsid w:val="00EA6953"/>
    <w:rsid w:val="00EB015C"/>
    <w:rsid w:val="00EB01B6"/>
    <w:rsid w:val="00EB40BF"/>
    <w:rsid w:val="00EC7099"/>
    <w:rsid w:val="00EF271A"/>
    <w:rsid w:val="00EF3393"/>
    <w:rsid w:val="00EF6FFE"/>
    <w:rsid w:val="00F00930"/>
    <w:rsid w:val="00F0564F"/>
    <w:rsid w:val="00F05A45"/>
    <w:rsid w:val="00F063DA"/>
    <w:rsid w:val="00F067EC"/>
    <w:rsid w:val="00F123D8"/>
    <w:rsid w:val="00F13B51"/>
    <w:rsid w:val="00F226BF"/>
    <w:rsid w:val="00F23FCD"/>
    <w:rsid w:val="00F26F23"/>
    <w:rsid w:val="00F34082"/>
    <w:rsid w:val="00F360AB"/>
    <w:rsid w:val="00F4001E"/>
    <w:rsid w:val="00F446C7"/>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B813B-419A-4DB6-8F03-C666D7DFA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D46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71"/>
    <w:rPr>
      <w:rFonts w:ascii="Times New Roman" w:eastAsiaTheme="minorEastAsia" w:hAnsi="Times New Roman"/>
      <w:sz w:val="24"/>
    </w:rPr>
  </w:style>
  <w:style w:type="paragraph" w:styleId="Footer">
    <w:name w:val="footer"/>
    <w:basedOn w:val="Normal"/>
    <w:link w:val="FooterChar"/>
    <w:uiPriority w:val="99"/>
    <w:unhideWhenUsed/>
    <w:rsid w:val="00D46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71"/>
    <w:rPr>
      <w:rFonts w:ascii="Times New Roman" w:eastAsiaTheme="minorEastAsia" w:hAnsi="Times New Roman"/>
      <w:sz w:val="24"/>
    </w:rPr>
  </w:style>
  <w:style w:type="paragraph" w:styleId="NormalWeb">
    <w:name w:val="Normal (Web)"/>
    <w:basedOn w:val="Normal"/>
    <w:uiPriority w:val="99"/>
    <w:unhideWhenUsed/>
    <w:rsid w:val="009D55EC"/>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9D55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22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2021-04-14T18:14:00Z</dcterms:created>
  <dcterms:modified xsi:type="dcterms:W3CDTF">2021-04-14T18:14:00Z</dcterms:modified>
</cp:coreProperties>
</file>